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2018 23 vom 13. Februar 2026</w:t>
      </w:r>
    </w:p>
    <w:p>
      <w:r>
        <w:t>GR Gerichte, 2026-02-13, DE</w:t>
      </w:r>
    </w:p>
    <w:p>
      <w:r>
        <w:rPr>
          <w:b/>
        </w:rPr>
        <w:t xml:space="preserve">Quelle: </w:t>
      </w:r>
      <w:r>
        <w:t>https://mcp.opencaselaw.ch/entscheid/gr_gerichte_PVG 2018 23</w:t>
      </w:r>
    </w:p>
    <w:p>
      <w:r>
        <w:t>FR: GR_GERICHTE PVG 2018 23 du 13 février 2026</w:t>
      </w:r>
    </w:p>
    <w:p>
      <w:r>
        <w:t>IT: GR_GERICHTE PVG 2018 23 del 13 febbraio 2026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c/aa) Grundsätzlich ist der nicht gleichzeitige Erlass (also die nicht gleichzeitige Eröffnung) von Einspracheentscheid und Baubewilligung durch eine Baubehörde nicht verboten. Der Ent- scheid über das Baugesuch und die Einsprachen bzw. deren Er- öffnung erfolgt zweckmässigerweise jedoch uno actu (vgl. Hänni, Planungs-, Bau- und besonderes Umweltschutzrecht, Bern 2016,</w:t>
      </w:r>
    </w:p>
    <w:p>
      <w:r>
        <w:rPr>
          <w:b/>
        </w:rPr>
        <w:t>E. 6</w:t>
      </w:r>
    </w:p>
    <w:p>
      <w:r>
        <w:t>Juni 2017, sei es im Falle einer späteren Zustellung (spätestens mit deren Kenntnis im Verlaufe des vorliegenden Beschwerdever- fahrens im August/September 2017). R 17 56 Urteil vom 5. Dezember 2017 186</w:t>
      </w:r>
    </w:p>
    <w:p>
      <w:r>
        <w:t>6/23 Raumordnung und Umweltschutz PVG 2018 Auf die verspätet an das Bundesgericht erhobene Beschwerde in öffentlich-rechtlichen Angelegenheiten wurde mit Urteil vom 22. Juni 2018 nicht eingetreten (1C_295/2018). 187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